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val="en-US" w:eastAsia="zh-CN"/>
        </w:rPr>
        <w:t>山东兆邦精细</w:t>
      </w:r>
      <w:r>
        <w:rPr>
          <w:rFonts w:hint="eastAsia"/>
          <w:b/>
          <w:sz w:val="44"/>
          <w:szCs w:val="44"/>
          <w:highlight w:val="none"/>
          <w:lang w:eastAsia="zh-CN"/>
        </w:rPr>
        <w:t>化工有限公司</w:t>
      </w:r>
    </w:p>
    <w:p>
      <w:pPr>
        <w:pStyle w:val="7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企业危险废物环境污染防治工作领导小组职责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　三、专（兼）职危险废物环境污染防治专业人员职责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协助领导小组推动企业开展危险废物环境污染防治工作，贯彻执行国家法规和标准。汇总和审查各项技术措施、计划，并且督促有关部门切实按期执行。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组织对职工进行危险废物环境污染防治培训教育，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总结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推广职业卫生管理先进经验。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定期组织现场检查，对检查中发现的不安全情况，有权责令改正，或立即报告领导小组研究处理。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负责危险废物环境污染事故报告，参加事故调查处理。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负责建立企业危险废物环境污染防治管理台帐和档案，负责登录、存档、申报等工作。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四、危险废物操作岗位职责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、要了解危险废物的潜在危险性，做好劳动防护工作。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、贯彻国家、上级部门关于危险废物设施维修、维护保养及施工方面的安全规定、标准，遵守危险废物操作规程和管理制度。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、在制定改造方案和编制设备检修计划时，遵守相应的安全卫生、环保等措施内容，落实好相应的安全措施。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、积极参加学习危险废物知识培训，了解危险废物的危害。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、要对危险废物的使用情况进行监控，出现问题要及时汇报有关部门。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、对危险废物的安全措施要经常检查，是否落实到位。</w:t>
      </w:r>
      <w:r>
        <w:rPr>
          <w:rFonts w:ascii="仿宋_GB2312" w:eastAsia="仿宋_GB2312"/>
          <w:sz w:val="28"/>
          <w:szCs w:val="28"/>
        </w:rPr>
        <w:br w:type="textWrapping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山东兆邦精细化工有限公司危险废物污染防治信息</w:t>
      </w:r>
    </w:p>
    <w:tbl>
      <w:tblPr>
        <w:tblStyle w:val="10"/>
        <w:tblW w:w="44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011"/>
        <w:gridCol w:w="1561"/>
        <w:gridCol w:w="2158"/>
        <w:gridCol w:w="870"/>
        <w:gridCol w:w="662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6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01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危废类别</w:t>
            </w:r>
          </w:p>
        </w:tc>
        <w:tc>
          <w:tcPr>
            <w:tcW w:w="140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568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432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54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251-017-50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反应器使用失效后的废催化剂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张红光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废导热油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导热油炉使用失效的导热油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易燃性,毒性</w:t>
            </w:r>
          </w:p>
        </w:tc>
        <w:tc>
          <w:tcPr>
            <w:tcW w:w="432" w:type="pct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废润滑油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900-217-08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设备检修或者更换润滑油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易燃性,毒性</w:t>
            </w:r>
          </w:p>
        </w:tc>
        <w:tc>
          <w:tcPr>
            <w:tcW w:w="432" w:type="pct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异丁烯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原料MTBE从罐区送至异丁烯装置，送到MTBE进料预热器（E-1103），到MTBE精制塔（T-1101）。精制得到的气相MTBE（117.8℃，0.45MPa）与来自反应器（R-1101）的高温反应产气经反应器进出料换热器（E-1104）换热升温至215℃后进入反应器进料过热器（E-1105）。由导热油进一步加热，升温至反应温度后进入由导热油加热的反应器（R-1101）。进入裂解反应器，在催化剂的作用下裂解为异丁烯和甲醇。根据MTBE的转化率和催化剂的使用寿命要求对催化剂进行更换，更换的催化剂作为危废，进行包装入库。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object>
          <v:shape id="_x0000_i1025" o:spt="75" type="#_x0000_t75" style="height:272.7pt;width:4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异丁烯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装置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导热油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原料MTBE从罐区送至异丁烯装置，送到MTBE进料预热器（E-1103），到MTBE精制塔（T-1101）。精制得到的气相MTBE（117.8℃，0.45MPa）与来自反应器（R-1101）的高温反应产气经反应器进出料换热器（E-1104）换热升温至215℃后进入反应器进料过热器（E-1105）。由导热油进一步加热，升温至反应温度后进入由导热油加热的反应器（R-1101）。进入裂解反应器，在催化剂的作用下裂解为异丁烯和甲醇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循环导热油和高位槽内导热油通过循环泵送入加热炉，加热后的导热油至装置，并进入低位槽，低位槽内导热油通过注油泵再送至高位槽进行循环利用。低位槽内导热油根据导热油质量指标进行更换，当导热油无法达到使用指标时，需进行更换，产生的废导热油进行包装入库。</w:t>
      </w:r>
    </w:p>
    <w:p>
      <w:pPr>
        <w:jc w:val="both"/>
        <w:rPr>
          <w:rFonts w:hint="eastAsia"/>
        </w:rPr>
      </w:pPr>
      <w:r>
        <w:rPr>
          <w:rFonts w:hint="eastAsia"/>
        </w:rPr>
        <w:object>
          <v:shape id="_x0000_i1026" o:spt="75" type="#_x0000_t75" style="height:316pt;width:414.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赵壮壮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13774976120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张红光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异丁烯车间主任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15154368926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杨燕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15964435500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质检部主任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李长炉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13184064587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马建新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18366913727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山东兆邦精细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eastAsia="黑体"/>
          <w:color w:val="000000"/>
        </w:rPr>
        <w:object>
          <v:shape id="_x0000_i1027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8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02E9"/>
    <w:rsid w:val="00315736"/>
    <w:rsid w:val="00ED61BF"/>
    <w:rsid w:val="017645B9"/>
    <w:rsid w:val="0202578E"/>
    <w:rsid w:val="03050801"/>
    <w:rsid w:val="045F0EED"/>
    <w:rsid w:val="089F1205"/>
    <w:rsid w:val="08C104DA"/>
    <w:rsid w:val="0A793E61"/>
    <w:rsid w:val="0A7C671A"/>
    <w:rsid w:val="0AF54552"/>
    <w:rsid w:val="0B374914"/>
    <w:rsid w:val="0C8F2DE5"/>
    <w:rsid w:val="0CC01654"/>
    <w:rsid w:val="0E6B35F1"/>
    <w:rsid w:val="0E9646F6"/>
    <w:rsid w:val="10442560"/>
    <w:rsid w:val="106A7331"/>
    <w:rsid w:val="1101636F"/>
    <w:rsid w:val="11EF1F7F"/>
    <w:rsid w:val="13F42A42"/>
    <w:rsid w:val="14662896"/>
    <w:rsid w:val="147C22BE"/>
    <w:rsid w:val="14F81A08"/>
    <w:rsid w:val="14FF0BCD"/>
    <w:rsid w:val="15784EF3"/>
    <w:rsid w:val="160125B4"/>
    <w:rsid w:val="16556548"/>
    <w:rsid w:val="17B90B6C"/>
    <w:rsid w:val="183C7AB7"/>
    <w:rsid w:val="19813323"/>
    <w:rsid w:val="19BB789B"/>
    <w:rsid w:val="19F36A92"/>
    <w:rsid w:val="1AFA2CD6"/>
    <w:rsid w:val="1C5A2F2A"/>
    <w:rsid w:val="1C5A5E97"/>
    <w:rsid w:val="1D8333EA"/>
    <w:rsid w:val="1E13528C"/>
    <w:rsid w:val="1E6A4173"/>
    <w:rsid w:val="1E7203BC"/>
    <w:rsid w:val="20494657"/>
    <w:rsid w:val="20A95400"/>
    <w:rsid w:val="211F1DC7"/>
    <w:rsid w:val="21E9278E"/>
    <w:rsid w:val="23794D61"/>
    <w:rsid w:val="24050595"/>
    <w:rsid w:val="24D72ED2"/>
    <w:rsid w:val="271A1ED9"/>
    <w:rsid w:val="27BA37B3"/>
    <w:rsid w:val="289E6C31"/>
    <w:rsid w:val="2972138A"/>
    <w:rsid w:val="2B550D54"/>
    <w:rsid w:val="2B7A17CF"/>
    <w:rsid w:val="2BB95A4D"/>
    <w:rsid w:val="2C5076E0"/>
    <w:rsid w:val="2CEE4D5D"/>
    <w:rsid w:val="2D4330FC"/>
    <w:rsid w:val="2EFC4D56"/>
    <w:rsid w:val="302451E0"/>
    <w:rsid w:val="30745700"/>
    <w:rsid w:val="308F0E4B"/>
    <w:rsid w:val="31A14F3A"/>
    <w:rsid w:val="32F920ED"/>
    <w:rsid w:val="330E68A6"/>
    <w:rsid w:val="33952D5B"/>
    <w:rsid w:val="35B0022F"/>
    <w:rsid w:val="392B2DE4"/>
    <w:rsid w:val="3A3B09BA"/>
    <w:rsid w:val="3BA166F7"/>
    <w:rsid w:val="3C321B58"/>
    <w:rsid w:val="3C8B5017"/>
    <w:rsid w:val="3CAC1ED2"/>
    <w:rsid w:val="3F202AE8"/>
    <w:rsid w:val="3FCA1F94"/>
    <w:rsid w:val="406959B2"/>
    <w:rsid w:val="40CE3036"/>
    <w:rsid w:val="418D7A30"/>
    <w:rsid w:val="41EC12DE"/>
    <w:rsid w:val="42900B68"/>
    <w:rsid w:val="45563EA4"/>
    <w:rsid w:val="46390998"/>
    <w:rsid w:val="467643F9"/>
    <w:rsid w:val="46A33A66"/>
    <w:rsid w:val="4922348E"/>
    <w:rsid w:val="498A6404"/>
    <w:rsid w:val="49EF2AC9"/>
    <w:rsid w:val="4C61348F"/>
    <w:rsid w:val="4D8F5457"/>
    <w:rsid w:val="4E44391D"/>
    <w:rsid w:val="4E8A2CB4"/>
    <w:rsid w:val="4F1464F5"/>
    <w:rsid w:val="4F2001BD"/>
    <w:rsid w:val="4F860392"/>
    <w:rsid w:val="504739AF"/>
    <w:rsid w:val="51634F55"/>
    <w:rsid w:val="531211F2"/>
    <w:rsid w:val="59C47CFC"/>
    <w:rsid w:val="5ADE0258"/>
    <w:rsid w:val="5B2324E1"/>
    <w:rsid w:val="5B3A4C2D"/>
    <w:rsid w:val="5BB00880"/>
    <w:rsid w:val="5DA46BF2"/>
    <w:rsid w:val="5E1C7DBF"/>
    <w:rsid w:val="5F562410"/>
    <w:rsid w:val="60456C19"/>
    <w:rsid w:val="60C96B2F"/>
    <w:rsid w:val="60CA3059"/>
    <w:rsid w:val="61314A5B"/>
    <w:rsid w:val="61B778DB"/>
    <w:rsid w:val="620B1177"/>
    <w:rsid w:val="644F2807"/>
    <w:rsid w:val="64921159"/>
    <w:rsid w:val="684C095C"/>
    <w:rsid w:val="68C84358"/>
    <w:rsid w:val="68D91956"/>
    <w:rsid w:val="69955251"/>
    <w:rsid w:val="69CE49BC"/>
    <w:rsid w:val="6A19600C"/>
    <w:rsid w:val="6A99453E"/>
    <w:rsid w:val="6B3E6887"/>
    <w:rsid w:val="6B4F12DA"/>
    <w:rsid w:val="6C3A4966"/>
    <w:rsid w:val="6D2D6CED"/>
    <w:rsid w:val="6DD31D3F"/>
    <w:rsid w:val="6F147E2A"/>
    <w:rsid w:val="6F4E13D9"/>
    <w:rsid w:val="718451BA"/>
    <w:rsid w:val="7187510E"/>
    <w:rsid w:val="72013033"/>
    <w:rsid w:val="735A052E"/>
    <w:rsid w:val="7480125A"/>
    <w:rsid w:val="78593676"/>
    <w:rsid w:val="797F5912"/>
    <w:rsid w:val="7A366002"/>
    <w:rsid w:val="7B7950C9"/>
    <w:rsid w:val="7B827C15"/>
    <w:rsid w:val="7B875F35"/>
    <w:rsid w:val="7BDA567F"/>
    <w:rsid w:val="7C370DFC"/>
    <w:rsid w:val="7FB91CA4"/>
    <w:rsid w:val="7FD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3">
    <w:name w:val="Balloon Text"/>
    <w:basedOn w:val="1"/>
    <w:link w:val="13"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2"/>
    <w:next w:val="1"/>
    <w:uiPriority w:val="0"/>
    <w:pPr>
      <w:ind w:firstLine="420" w:firstLineChars="200"/>
    </w:p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3">
    <w:name w:val="批注框文本 Char"/>
    <w:basedOn w:val="11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reader-word-layer reader-word-s1-3"/>
    <w:basedOn w:val="1"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348</Characters>
  <Lines>2</Lines>
  <Paragraphs>1</Paragraphs>
  <TotalTime>6</TotalTime>
  <ScaleCrop>false</ScaleCrop>
  <LinksUpToDate>false</LinksUpToDate>
  <CharactersWithSpaces>407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WPS_1509025691</cp:lastModifiedBy>
  <cp:lastPrinted>2021-01-21T06:13:00Z</cp:lastPrinted>
  <dcterms:modified xsi:type="dcterms:W3CDTF">2021-12-02T00:52:17Z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8D98E4A5712A4F499E977CD5F0409F84</vt:lpwstr>
  </property>
</Properties>
</file>