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156" w:beforeLines="50" w:beforeAutospacing="0" w:after="156" w:afterLines="50" w:afterAutospacing="0" w:line="440" w:lineRule="exact"/>
        <w:jc w:val="center"/>
        <w:rPr>
          <w:rFonts w:hint="eastAsia" w:eastAsia="宋体"/>
          <w:b/>
          <w:sz w:val="44"/>
          <w:szCs w:val="44"/>
          <w:highlight w:val="none"/>
          <w:lang w:eastAsia="zh-CN"/>
        </w:rPr>
      </w:pPr>
      <w:r>
        <w:rPr>
          <w:rFonts w:hint="eastAsia"/>
          <w:b/>
          <w:sz w:val="44"/>
          <w:szCs w:val="44"/>
          <w:highlight w:val="none"/>
          <w:lang w:eastAsia="zh-CN"/>
        </w:rPr>
        <w:t>中信国安化工有限公司</w:t>
      </w:r>
    </w:p>
    <w:p>
      <w:pPr>
        <w:pStyle w:val="8"/>
        <w:spacing w:before="156" w:beforeLines="50" w:beforeAutospacing="0" w:after="156" w:afterLines="50" w:afterAutospacing="0" w:line="440" w:lineRule="exact"/>
        <w:jc w:val="center"/>
        <w:rPr>
          <w:b/>
          <w:sz w:val="44"/>
          <w:szCs w:val="44"/>
          <w:highlight w:val="none"/>
        </w:rPr>
      </w:pPr>
      <w:r>
        <w:rPr>
          <w:rFonts w:hint="eastAsia"/>
          <w:b/>
          <w:sz w:val="44"/>
          <w:szCs w:val="44"/>
          <w:highlight w:val="none"/>
        </w:rPr>
        <w:t>危险废物污染环境防治责任制度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一、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为贯彻执行国家有关危险废物环境污染防治的法律、法规、政策和标准，加强对危险废物环境污染防治工作的管理，提高危险废物环境污染防治的水平，合理利用资源，保障人体健康，维护生态安全，促进经济、社会和环境的可持续发展，根据《中华人民共和国环境保护法》、《中华人民共和国固体废物污染环境防治法》及有关法律、法规的规定，结合本厂实际，制定本办法。　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Arial" w:hAnsi="Arial" w:cs="Arial"/>
          <w:kern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kern w:val="0"/>
          <w:sz w:val="28"/>
          <w:szCs w:val="28"/>
        </w:rPr>
        <w:t>二、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本制度是从组织上、制度上落实“管生产必须管</w:t>
      </w:r>
      <w:r>
        <w:rPr>
          <w:rFonts w:hint="eastAsia" w:ascii="Arial" w:hAnsi="Arial" w:cs="Arial"/>
          <w:kern w:val="0"/>
          <w:sz w:val="28"/>
          <w:szCs w:val="28"/>
          <w:highlight w:val="none"/>
          <w:lang w:val="en-US" w:eastAsia="zh-CN"/>
        </w:rPr>
        <w:t>环保</w:t>
      </w:r>
      <w:r>
        <w:rPr>
          <w:rFonts w:hint="eastAsia" w:ascii="Arial" w:hAnsi="Arial" w:cs="Arial"/>
          <w:kern w:val="0"/>
          <w:sz w:val="28"/>
          <w:szCs w:val="28"/>
        </w:rPr>
        <w:t>”的原则，使各级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领导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、各职能部门、各生产部门和职工明确危险废物环境污染防治的责任，做到层层有责，各司其职，各负其责，做好危险废物环境污染防治工作，促进生产可持续发展。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ascii="Arial" w:hAnsi="Arial" w:cs="Arial"/>
          <w:kern w:val="0"/>
          <w:sz w:val="28"/>
          <w:szCs w:val="28"/>
        </w:rPr>
        <w:t xml:space="preserve">    </w:t>
      </w:r>
      <w:r>
        <w:rPr>
          <w:rFonts w:hint="eastAsia" w:ascii="Arial" w:hAnsi="Arial" w:cs="Arial"/>
          <w:kern w:val="0"/>
          <w:sz w:val="28"/>
          <w:szCs w:val="28"/>
        </w:rPr>
        <w:t>三、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本制度规定从公司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领导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到各部门在危险废物环境污染防治中的职责范围，凡本公司发生危险废物环境污染事故，以本制度追究责任。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四、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为保证本制度的有效执行，今后凡有行政体制变动，均以本制度规定的职责范围，对照落实相应的职能部门和责任人。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各部门和人员的职责：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一、 总经理的职责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认真贯彻国家有关危险废物环境污染防治的法律、法规、政策和标准，落实各级危险废物环境污染防治责任制，确保危险废物环境污染防治工作合理进行。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设置与企业规模相适应的危险废物环境污染防治管理机构，建立危险废物环境污染防治工作管理网络，配备专业或兼职危险废物环境污染防治专业人员，负责本公司的危险废物环境污染防治工作。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每年向职工代表大会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报告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企业危险废物环境污染防治工作规划和落实情况，主动听取职工对本企业危险废物环境污染防治工作的意见，并责成有关部门及时解决提出的合理建议和正当要求。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每年召开一次危险废物环境污染防治工作领导小组会议，听取工作汇报，亲自研究和制订年度危险废物环境污染防治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计划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与方案，落实危险废物环境污染防治所需经费，督促落实各项防范措施。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根据“三同时”原则，企业新、改、扩建或技术改造、技术引进项目可能产生危险废物污染事故的，应由环保部门审核同意方可进行建设，切实做到危险废物污染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防治</w:t>
      </w:r>
      <w:r>
        <w:rPr>
          <w:rFonts w:hint="eastAsia" w:ascii="Arial" w:hAnsi="Arial" w:cs="Arial"/>
          <w:kern w:val="0"/>
          <w:sz w:val="28"/>
          <w:szCs w:val="28"/>
        </w:rPr>
        <w:t>设施与主体工程同时设计、同时施工、同时投入生产和使用。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亲自参加企业内发生危险废物环境污染防治事故的调查和分析，对有关责任人予以严肃处理。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7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对本公司的危险废物环境污染防治工作负全面领导责任。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二、 企业危险废物环境污染防治工作领导小组职责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在总经理的领导下，根据国家有关危险废物环境污染防治的法律、法规、政策和标准的规定，在企业中具体组织实施各项危险废物环境污染防治工作，具体职责：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组织制订（修改）危险废物环境污染防治管理制度和操作规程，并督促执行。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根据企业机构设置，明确各部门、人员职责。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制订企业年度危险废物管理计划，并组织具体实施，保证经费的落实和使用。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直接领导本公司危险废物环境污染防治工作，建立企业危险废物环境污染防治管理台帐和档案。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组织对公司干部、职工进行危险废物环境污染防治法规、职业知识培训与宣传教育。对在危险废物环境污染防治工作中有贡献的进行表扬、奖励，对违章者、不履行职责者进行批评教育和处罚。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经常检查公司和各部门危险废物环境污染防治工作开展情况，对查出的问题及时研究，制订整改措施，落实部门按期解决。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7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经常听取各部门、车间、安技人员、职工关于危险废物环境污染防治有关情况的汇报，及时采取措施。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8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对企业内发生危险废物环境污染危害事故采取应急措施，及时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报告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，并协助有关部门调查和处理，对有关责任人予以严肃处理。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9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对本企业的危险废物环境污染防治工作负直接责任。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　三、专（兼）职危险废物环境污染防治专业人员职责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协助领导小组推动企业开展危险废物环境污染防治工作，贯彻执行国家法规和标准。汇总和审查各项技术措施、计划，并且督促有关部门切实按期执行。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组织对职工进行危险废物环境污染防治培训教育，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总结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推广职业卫生管理先进经验。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定期组织现场检查，对检查中发现的不安全情况，有权责令改正，或立即报告领导小组研究处理。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负责危险废物环境污染事故报告，参加事故调查处理。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负责建立企业危险废物环境污染防治管理台帐和档案，负责登录、存档、申报等工作。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黑体" w:hAnsi="黑体" w:eastAsia="黑体" w:cs="Arial"/>
          <w:kern w:val="0"/>
          <w:sz w:val="28"/>
          <w:szCs w:val="28"/>
        </w:rPr>
      </w:pPr>
      <w:r>
        <w:rPr>
          <w:rFonts w:hint="eastAsia" w:ascii="黑体" w:hAnsi="黑体" w:eastAsia="黑体" w:cs="Arial"/>
          <w:kern w:val="0"/>
          <w:sz w:val="28"/>
          <w:szCs w:val="28"/>
        </w:rPr>
        <w:t>四、危险废物操作岗位职责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、要了解危险废物的潜在危险性，做好劳动防护工作。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、贯彻国家、上级部门关于危险废物设施维修、维护保养及施工方面的安全规定、标准，遵守危险废物操作规程和管理制度。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、在制定改造方案和编制设备检修计划时，遵守相应的安全卫生、环保等措施内容，落实好相应的安全措施。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、积极参加学习危险废物知识培训，了解危险废物的危害。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、要对危险废物的使用情况进行监控，出现问题要及时汇报有关部门。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、对危险废物的安全措施要经常检查，是否落实到位。</w:t>
      </w:r>
      <w:r>
        <w:rPr>
          <w:rFonts w:ascii="仿宋_GB2312" w:eastAsia="仿宋_GB2312"/>
          <w:sz w:val="28"/>
          <w:szCs w:val="28"/>
        </w:rPr>
        <w:br w:type="textWrapping"/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中信国安化工有限公司危险废物污染防治信息</w:t>
      </w:r>
    </w:p>
    <w:tbl>
      <w:tblPr>
        <w:tblStyle w:val="11"/>
        <w:tblW w:w="49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129"/>
        <w:gridCol w:w="1563"/>
        <w:gridCol w:w="2163"/>
        <w:gridCol w:w="770"/>
        <w:gridCol w:w="828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75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危废名称</w:t>
            </w:r>
          </w:p>
        </w:tc>
        <w:tc>
          <w:tcPr>
            <w:tcW w:w="934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危废类别</w:t>
            </w:r>
          </w:p>
        </w:tc>
        <w:tc>
          <w:tcPr>
            <w:tcW w:w="1293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产生环节</w:t>
            </w:r>
          </w:p>
        </w:tc>
        <w:tc>
          <w:tcPr>
            <w:tcW w:w="460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危险特性</w:t>
            </w:r>
          </w:p>
        </w:tc>
        <w:tc>
          <w:tcPr>
            <w:tcW w:w="495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责任人</w:t>
            </w:r>
          </w:p>
        </w:tc>
        <w:tc>
          <w:tcPr>
            <w:tcW w:w="884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污泥</w:t>
            </w:r>
          </w:p>
        </w:tc>
        <w:tc>
          <w:tcPr>
            <w:tcW w:w="93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HW45 261-084-45</w:t>
            </w:r>
          </w:p>
        </w:tc>
        <w:tc>
          <w:tcPr>
            <w:tcW w:w="1293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污水处理压滤污泥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李长炉</w:t>
            </w:r>
          </w:p>
        </w:tc>
        <w:tc>
          <w:tcPr>
            <w:tcW w:w="88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山东中再生环境科技有限公司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废保护剂</w:t>
            </w:r>
          </w:p>
        </w:tc>
        <w:tc>
          <w:tcPr>
            <w:tcW w:w="93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HW46 900-037-46</w:t>
            </w:r>
          </w:p>
        </w:tc>
        <w:tc>
          <w:tcPr>
            <w:tcW w:w="1293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加氢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反应器用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保护剂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刘世岳</w:t>
            </w:r>
          </w:p>
        </w:tc>
        <w:tc>
          <w:tcPr>
            <w:tcW w:w="88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山东齐力环保科技有限公司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废催化剂</w:t>
            </w:r>
          </w:p>
        </w:tc>
        <w:tc>
          <w:tcPr>
            <w:tcW w:w="93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HW46 900-037-46</w:t>
            </w:r>
          </w:p>
        </w:tc>
        <w:tc>
          <w:tcPr>
            <w:tcW w:w="1293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装置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反应器用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催化剂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刘世岳、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张永魁</w:t>
            </w:r>
          </w:p>
        </w:tc>
        <w:tc>
          <w:tcPr>
            <w:tcW w:w="88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山东齐力环保科技有限公司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废油毡</w:t>
            </w:r>
          </w:p>
        </w:tc>
        <w:tc>
          <w:tcPr>
            <w:tcW w:w="93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HW08 900-249-08</w:t>
            </w:r>
          </w:p>
        </w:tc>
        <w:tc>
          <w:tcPr>
            <w:tcW w:w="1293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检修、清理现场、处理设备产生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刘世岳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、李长炉、曹安明</w:t>
            </w:r>
          </w:p>
        </w:tc>
        <w:tc>
          <w:tcPr>
            <w:tcW w:w="88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山东中再生环境科技有限公司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含油污泥</w:t>
            </w:r>
          </w:p>
        </w:tc>
        <w:tc>
          <w:tcPr>
            <w:tcW w:w="93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HW08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-08</w:t>
            </w:r>
          </w:p>
        </w:tc>
        <w:tc>
          <w:tcPr>
            <w:tcW w:w="1293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清理污水池、储罐产生 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刘世岳、曹安明</w:t>
            </w:r>
          </w:p>
        </w:tc>
        <w:tc>
          <w:tcPr>
            <w:tcW w:w="88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山东中再生环境科技有限公司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过滤残渣</w:t>
            </w:r>
          </w:p>
        </w:tc>
        <w:tc>
          <w:tcPr>
            <w:tcW w:w="93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HW49 900-042-49</w:t>
            </w:r>
          </w:p>
        </w:tc>
        <w:tc>
          <w:tcPr>
            <w:tcW w:w="1293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设备检修，清理设备产生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腐蚀性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感染性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反应性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毒性 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刘世岳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张永魁</w:t>
            </w:r>
          </w:p>
        </w:tc>
        <w:tc>
          <w:tcPr>
            <w:tcW w:w="88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山东中再生环境科技有限公司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废导热油</w:t>
            </w:r>
          </w:p>
        </w:tc>
        <w:tc>
          <w:tcPr>
            <w:tcW w:w="93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HW08 900-249-08</w:t>
            </w:r>
          </w:p>
        </w:tc>
        <w:tc>
          <w:tcPr>
            <w:tcW w:w="1293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导热油炉使用失效的导热油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曹安明</w:t>
            </w:r>
          </w:p>
        </w:tc>
        <w:tc>
          <w:tcPr>
            <w:tcW w:w="88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山东中再生环境科技有限公司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93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HW49 900-039-49</w:t>
            </w:r>
          </w:p>
        </w:tc>
        <w:tc>
          <w:tcPr>
            <w:tcW w:w="1293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废气治理设施失效废活性炭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曹安明、张永魁</w:t>
            </w:r>
          </w:p>
        </w:tc>
        <w:tc>
          <w:tcPr>
            <w:tcW w:w="88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山东中再生环境科技有限公司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化验废液</w:t>
            </w:r>
          </w:p>
        </w:tc>
        <w:tc>
          <w:tcPr>
            <w:tcW w:w="93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HW49 900-047-49</w:t>
            </w:r>
          </w:p>
        </w:tc>
        <w:tc>
          <w:tcPr>
            <w:tcW w:w="1293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化验原料、产品、废水化验产生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腐蚀性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、易燃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反应性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唐世汹</w:t>
            </w:r>
          </w:p>
        </w:tc>
        <w:tc>
          <w:tcPr>
            <w:tcW w:w="88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山东中再生环境科技有限公司</w:t>
            </w:r>
          </w:p>
        </w:tc>
      </w:tr>
    </w:tbl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>制氢装置废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催化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剂产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工艺说明及工艺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流程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制氢装置以天然气为原料，原料经过压缩机、原料缓冲罐、钴钼脱硫槽、氧化锌脱硫槽及转化炉进行加工处理。转化炉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内</w:t>
      </w:r>
      <w:r>
        <w:rPr>
          <w:rFonts w:hint="eastAsia" w:ascii="宋体" w:hAnsi="宋体" w:eastAsia="宋体" w:cs="宋体"/>
          <w:sz w:val="22"/>
          <w:szCs w:val="22"/>
        </w:rPr>
        <w:t>催化剂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经过长期使用，无法满足要求时，会产生废催化剂，废催化剂进行包装入库。</w:t>
      </w:r>
    </w:p>
    <w:p>
      <w:pPr>
        <w:jc w:val="center"/>
        <w:rPr>
          <w:rFonts w:hint="eastAsia"/>
          <w:b/>
          <w:sz w:val="32"/>
          <w:szCs w:val="44"/>
        </w:rPr>
      </w:pPr>
      <w:r>
        <w:rPr>
          <w:rFonts w:hint="eastAsia"/>
          <w:b/>
          <w:sz w:val="32"/>
          <w:szCs w:val="44"/>
        </w:rPr>
        <w:object>
          <v:shape id="_x0000_i1025" o:spt="75" type="#_x0000_t75" style="height:415pt;width:88.7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p>
      <w:pPr>
        <w:jc w:val="left"/>
        <w:rPr>
          <w:rFonts w:hint="eastAsia"/>
          <w:b/>
          <w:sz w:val="28"/>
        </w:rPr>
      </w:pPr>
    </w:p>
    <w:p>
      <w:pPr>
        <w:jc w:val="left"/>
        <w:rPr>
          <w:rFonts w:hint="eastAsia"/>
          <w:b/>
          <w:sz w:val="28"/>
        </w:rPr>
      </w:pPr>
    </w:p>
    <w:p>
      <w:pPr>
        <w:jc w:val="left"/>
        <w:rPr>
          <w:rFonts w:hint="eastAsia"/>
          <w:b/>
          <w:sz w:val="28"/>
        </w:rPr>
      </w:pPr>
    </w:p>
    <w:p>
      <w:pPr>
        <w:jc w:val="left"/>
        <w:rPr>
          <w:rFonts w:hint="eastAsia"/>
          <w:b/>
          <w:sz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加氢装置废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催化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剂产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工艺说明及工艺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流程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加氢装置原料经过中段E0103、塔底E0105、脱重塔C0101、原料罐、P-101、R0201、E101及R101设备进行加工处理。R0201和R101反应器内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催化剂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经过长期使用，无法满足要求时，会产生废催化剂，废催化剂进行包装入库。</w:t>
      </w:r>
    </w:p>
    <w:p>
      <w:pPr>
        <w:jc w:val="center"/>
        <w:rPr>
          <w:rFonts w:hint="eastAsia"/>
        </w:rPr>
      </w:pPr>
      <w:r>
        <w:rPr>
          <w:rFonts w:hint="eastAsia"/>
        </w:rPr>
        <w:object>
          <v:shape id="_x0000_i1026" o:spt="75" type="#_x0000_t75" style="height:494.8pt;width:219.8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Visio.Drawing.11" ShapeID="_x0000_i1026" DrawAspect="Content" ObjectID="_1468075726" r:id="rId6">
            <o:LockedField>false</o:LockedField>
          </o:OLEObject>
        </w:object>
      </w:r>
    </w:p>
    <w:p>
      <w:pPr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污水处理站污泥产废工艺说明及工艺流程图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污水处理站采用的是活性污泥工艺法，生化后的剩余污泥进入污泥池，污泥池内污泥通过污泥提升泵送至板框压滤机，对污泥进行压滤干化处理，最终产生干污泥，进行包装入库。</w:t>
      </w:r>
    </w:p>
    <w:p>
      <w:pPr>
        <w:jc w:val="center"/>
        <w:rPr>
          <w:rFonts w:hint="eastAsia"/>
        </w:rPr>
      </w:pPr>
      <w:r>
        <w:rPr>
          <w:rFonts w:hint="eastAsia"/>
        </w:rPr>
        <w:object>
          <v:shape id="_x0000_i1027" o:spt="75" type="#_x0000_t75" style="height:333pt;width:117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Visio.Drawing.11" ShapeID="_x0000_i1027" DrawAspect="Content" ObjectID="_1468075727" r:id="rId8">
            <o:LockedField>false</o:LockedField>
          </o:OLEObject>
        </w:objec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油气回收废活性炭产废工艺说明及工艺流程图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罐内气体进入油气回收废气处理设施，经过浅冷箱、柴油吸附塔、活性炭吸附罐及中冷箱进行处理。活性炭吸附罐利用活性炭对废气进行吸附，活性炭长期使用会失效，失效的活性炭需更换，并包装入库。</w:t>
      </w:r>
    </w:p>
    <w:p>
      <w:pPr>
        <w:jc w:val="left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object>
          <v:shape id="_x0000_i1028" o:spt="75" type="#_x0000_t75" style="height:335.8pt;width:415.8pt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  <w10:wrap type="none"/>
            <w10:anchorlock/>
          </v:shape>
          <o:OLEObject Type="Embed" ProgID="Visio.Drawing.11" ShapeID="_x0000_i1028" DrawAspect="Content" ObjectID="_1468075728" r:id="rId10">
            <o:LockedField>false</o:LockedField>
          </o:OLEObject>
        </w:objec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银催化剂产废工艺说明及工艺流程图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2" w:right="102" w:firstLine="4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甲醛制备单元以甲醇做为原料，生产甲醛。甲醇与氧气在银催化剂和650℃高温下发生脱氢、氧化反应生成甲醛混合气，再经过吸收，生成高浓度的甲醛溶液。银催化剂寿命为30-40天左右，银催化剂在生产过程中受系统内铁、硫、碳等杂质影响逐渐失去活性，当转化率低于60%时则需要更换新的催化剂，旧催化剂由催化剂厂家回收再生，回收利用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drawing>
          <wp:inline distT="0" distB="0" distL="114300" distR="114300">
            <wp:extent cx="5270500" cy="2815590"/>
            <wp:effectExtent l="0" t="0" r="6350" b="3810"/>
            <wp:docPr id="6" name="图片 6" descr="8a6c5cc41197b2ab50f49522c06ab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a6c5cc41197b2ab50f49522c06aba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固体酸性树脂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催化剂产废工艺说明及工艺流程图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2" w:right="102" w:firstLine="4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甲缩醛单元以甲醇和甲醛做为原料，在固体酸催化剂的作用下，通过加成、脱水反应合成甲缩醛，然后再通过闪蒸、精馏等工序，精制得到高浓度的甲缩醛产品。固体酸性树脂催化剂寿命为一年左右，当催化剂活性低于80%时则需要更换新的催化剂，旧催化剂作危废处理</w:t>
      </w:r>
      <w:r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  <w:t>，进行包装入库。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465070"/>
            <wp:effectExtent l="0" t="0" r="8255" b="11430"/>
            <wp:docPr id="7" name="图片 7" descr="5f1d76328ff9c28c402a6478d08d4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f1d76328ff9c28c402a6478d08d4b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离子液体催化剂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产废工艺说明及工艺流程图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2" w:right="102" w:firstLine="440" w:firstLineChars="200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三聚甲醛合成单元是以制甲醛单元生产的甲醛为原料，在离子液体催化剂的作用下进行TOX合成反应，生成TOX反应气，由于合成反应是平衡反应，生成的TOX反应气中TOX浓度低，反应气需经过浓缩、萃取、碱洗、水洗、与萃取剂分离等一系列精制过程，最终得到高浓度的三聚甲醛产品。三聚甲醛合成单元使用的离子液体催化剂为酸性，当转化率低于30%时则需要更换新的催化剂，旧催化剂排入回收系统酸碱中和后随废水排出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566160"/>
            <wp:effectExtent l="0" t="0" r="10795" b="15240"/>
            <wp:docPr id="4" name="图片 4" descr="2106da2321cddab50f9ac03072876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106da2321cddab50f9ac030728768a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新型固体催化剂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产废工艺说明及工艺流程图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醇醚燃料合成单元是以甲缩醛和三聚甲醛为原料，采用新型固体催化剂，在一定温度和压力下反应，生成醇醚燃料，然后再经过与反应物分离，脱酸、轻组分回收等操作，得到高纯度的醇醚燃料产品。醇醚燃料单元使用的三种催化剂均为树脂催化剂，失活后均作危废处理，</w:t>
      </w:r>
      <w:r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  <w:t>进行包装入库。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866390"/>
            <wp:effectExtent l="0" t="0" r="6985" b="10160"/>
            <wp:docPr id="8" name="图片 8" descr="db68e50cb289ac1fae947bd90099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b68e50cb289ac1fae947bd9009966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应急处置措施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一、物料泄漏处置措施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当发现危险废物泄漏时，发现人员马上汇报给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安环部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和车间主任，并且根据物料性质进行先期收集，收集完后，对地面进行冲洗，并将冲洗用水送到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事故应急池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暂存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二、火灾处置措施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当发现危废起火后，发现人员马上汇报给</w:t>
      </w:r>
      <w:r>
        <w:rPr>
          <w:rFonts w:hint="eastAsia" w:eastAsia="宋体" w:cs="宋体"/>
          <w:sz w:val="28"/>
          <w:szCs w:val="28"/>
          <w:lang w:val="en-US" w:eastAsia="zh-CN"/>
        </w:rPr>
        <w:t>安环部</w:t>
      </w:r>
      <w:r>
        <w:rPr>
          <w:rFonts w:hint="eastAsia" w:ascii="宋体" w:hAnsi="宋体" w:eastAsia="宋体" w:cs="宋体"/>
          <w:sz w:val="28"/>
          <w:szCs w:val="28"/>
        </w:rPr>
        <w:t>、车间主任以及消防</w:t>
      </w:r>
      <w:r>
        <w:rPr>
          <w:rFonts w:hint="eastAsia" w:eastAsia="宋体" w:cs="宋体"/>
          <w:sz w:val="28"/>
          <w:szCs w:val="28"/>
          <w:lang w:val="en-US" w:eastAsia="zh-CN"/>
        </w:rPr>
        <w:t>队</w:t>
      </w:r>
      <w:r>
        <w:rPr>
          <w:rFonts w:hint="eastAsia" w:ascii="宋体" w:hAnsi="宋体" w:eastAsia="宋体" w:cs="宋体"/>
          <w:sz w:val="28"/>
          <w:szCs w:val="28"/>
        </w:rPr>
        <w:t>，并在救援协助人员到达之前，进行先期处置，等协助救援人员达到以后，根据物料性质采取针对性的灭火处置方式。在处置过程中要做好个人防护。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应急响应流程图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1"/>
        <w:gridCol w:w="2739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事故联络人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杨燕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危废库保管员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15964435500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曹安明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一车间/储运车间主任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18853016303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刘世岳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加制氢车间主任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18805309026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张永魁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醇醚车间主任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15054004678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唐世汹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质检部主任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14753098409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李长炉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动力车间主任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13184064587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杨秋菊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环保工程师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18054491426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石青竹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环保工程师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15205303300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0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马建新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安环部部长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18366913727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0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胡思新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分管副总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15053053473</w:t>
            </w:r>
          </w:p>
        </w:tc>
      </w:tr>
    </w:tbl>
    <w:p>
      <w:r>
        <w:pict>
          <v:shape id="_x0000_s1026" o:spid="_x0000_s1026" o:spt="32" type="#_x0000_t32" style="position:absolute;left:0pt;margin-left:89.25pt;margin-top:198.3pt;height:27pt;width:0.75pt;z-index:2516725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27" o:spid="_x0000_s1027" o:spt="1" style="position:absolute;left:0pt;margin-left:43.5pt;margin-top:229.05pt;height:42.75pt;width:93pt;z-index:2516715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清理现场</w:t>
                  </w:r>
                </w:p>
              </w:txbxContent>
            </v:textbox>
          </v:rect>
        </w:pict>
      </w:r>
      <w:r>
        <w:pict>
          <v:shape id="_x0000_s1028" o:spid="_x0000_s1028" o:spt="32" type="#_x0000_t32" style="position:absolute;left:0pt;flip:x;margin-left:136.5pt;margin-top:175.8pt;height:0pt;width:36.75pt;z-index:251670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29" o:spid="_x0000_s1029" o:spt="32" type="#_x0000_t32" style="position:absolute;left:0pt;margin-left:219.75pt;margin-top:128.55pt;height:27pt;width:0.75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0" o:spid="_x0000_s1030" o:spt="1" style="position:absolute;left:0pt;margin-left:173.25pt;margin-top:155.55pt;height:42.75pt;width:93pt;z-index:2516695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</w:rPr>
                    <w:t>消防</w:t>
                  </w:r>
                  <w:r>
                    <w:rPr>
                      <w:rFonts w:hint="eastAsia"/>
                      <w:lang w:val="en-US" w:eastAsia="zh-CN"/>
                    </w:rPr>
                    <w:t>队</w:t>
                  </w:r>
                </w:p>
              </w:txbxContent>
            </v:textbox>
          </v:rect>
        </w:pict>
      </w:r>
      <w:r>
        <w:pict>
          <v:rect id="_x0000_s1031" o:spid="_x0000_s1031" o:spt="1" style="position:absolute;left:0pt;margin-left:43.5pt;margin-top:155.55pt;height:42.75pt;width:93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应急救援</w:t>
                  </w:r>
                </w:p>
              </w:txbxContent>
            </v:textbox>
          </v:rect>
        </w:pict>
      </w:r>
      <w:r>
        <w:pict>
          <v:rect id="_x0000_s1032" o:spid="_x0000_s1032" o:spt="1" style="position:absolute;left:0pt;margin-left:173.25pt;margin-top:85.8pt;height:42.75pt;width:93pt;z-index:251667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上报安环部</w:t>
                  </w:r>
                </w:p>
              </w:txbxContent>
            </v:textbox>
          </v:rect>
        </w:pict>
      </w:r>
      <w:r>
        <w:pict>
          <v:rect id="_x0000_s1033" o:spid="_x0000_s1033" o:spt="1" style="position:absolute;left:0pt;margin-left:303pt;margin-top:85.8pt;height:42.75pt;width:93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上报分管副总</w:t>
                  </w:r>
                </w:p>
              </w:txbxContent>
            </v:textbox>
          </v:rect>
        </w:pict>
      </w:r>
      <w:r>
        <w:pict>
          <v:shape id="_x0000_s1034" o:spid="_x0000_s1034" o:spt="32" type="#_x0000_t32" style="position:absolute;left:0pt;margin-left:266.25pt;margin-top:103.05pt;height:0pt;width:36.75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5" o:spid="_x0000_s1035" o:spt="32" type="#_x0000_t32" style="position:absolute;left:0pt;margin-left:136.5pt;margin-top:103.05pt;height:0pt;width:36.75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6" o:spid="_x0000_s1036" o:spt="1" style="position:absolute;left:0pt;margin-left:43.5pt;margin-top:85.8pt;height:42.75pt;width:93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</w:rPr>
                    <w:t>上报车间主任、消防</w:t>
                  </w:r>
                  <w:r>
                    <w:rPr>
                      <w:rFonts w:hint="eastAsia"/>
                      <w:lang w:val="en-US" w:eastAsia="zh-CN"/>
                    </w:rPr>
                    <w:t>队</w:t>
                  </w:r>
                </w:p>
              </w:txbxContent>
            </v:textbox>
          </v:rect>
        </w:pict>
      </w:r>
      <w:r>
        <w:pict>
          <v:shape id="_x0000_s1037" o:spid="_x0000_s1037" o:spt="32" type="#_x0000_t32" style="position:absolute;left:0pt;margin-left:90pt;margin-top:128.55pt;height:27pt;width:0.75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8" o:spid="_x0000_s1038" o:spt="32" type="#_x0000_t32" style="position:absolute;left:0pt;margin-left:90.75pt;margin-top:58.8pt;height:27pt;width:0.75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9" o:spid="_x0000_s1039" o:spt="1" style="position:absolute;left:0pt;margin-left:49.5pt;margin-top:16.05pt;height:42.75pt;width:80.2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left"/>
                  </w:pPr>
                  <w:r>
                    <w:rPr>
                      <w:rFonts w:hint="eastAsia"/>
                    </w:rPr>
                    <w:t>发现事故</w:t>
                  </w:r>
                </w:p>
              </w:txbxContent>
            </v:textbox>
          </v:rect>
        </w:pict>
      </w:r>
    </w:p>
    <w:p>
      <w:r>
        <w:br w:type="page"/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中信国安化工有限公司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危险废物管理组织架构图</w:t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eastAsia="黑体"/>
          <w:color w:val="000000"/>
        </w:rPr>
        <w:object>
          <v:shape id="_x0000_i1029" o:spt="75" type="#_x0000_t75" style="height:378.4pt;width:392.2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f"/>
            <w10:wrap type="none"/>
            <w10:anchorlock/>
          </v:shape>
          <o:OLEObject Type="Embed" ProgID="Visio.Drawing.11" ShapeID="_x0000_i1029" DrawAspect="Content" ObjectID="_1468075729" r:id="rId16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02E9"/>
    <w:rsid w:val="00315736"/>
    <w:rsid w:val="003550AC"/>
    <w:rsid w:val="00ED61BF"/>
    <w:rsid w:val="00FB1E1D"/>
    <w:rsid w:val="017645B9"/>
    <w:rsid w:val="045F0EED"/>
    <w:rsid w:val="089F1205"/>
    <w:rsid w:val="08C104DA"/>
    <w:rsid w:val="08E86DFA"/>
    <w:rsid w:val="0A79028B"/>
    <w:rsid w:val="0A793E61"/>
    <w:rsid w:val="0A7C671A"/>
    <w:rsid w:val="0AF54552"/>
    <w:rsid w:val="0B374914"/>
    <w:rsid w:val="0C8F2DE5"/>
    <w:rsid w:val="0CC01654"/>
    <w:rsid w:val="0E6B35F1"/>
    <w:rsid w:val="0E9646F6"/>
    <w:rsid w:val="10442560"/>
    <w:rsid w:val="106A7331"/>
    <w:rsid w:val="1101636F"/>
    <w:rsid w:val="117417AC"/>
    <w:rsid w:val="14662896"/>
    <w:rsid w:val="147C22BE"/>
    <w:rsid w:val="15784EF3"/>
    <w:rsid w:val="17B90B6C"/>
    <w:rsid w:val="180C273E"/>
    <w:rsid w:val="183C7AB7"/>
    <w:rsid w:val="1876405C"/>
    <w:rsid w:val="19813323"/>
    <w:rsid w:val="19BB789B"/>
    <w:rsid w:val="19F36A92"/>
    <w:rsid w:val="1AFA2CD6"/>
    <w:rsid w:val="1C5A2F2A"/>
    <w:rsid w:val="1C5A5E97"/>
    <w:rsid w:val="1D653296"/>
    <w:rsid w:val="1E13528C"/>
    <w:rsid w:val="1E6A4173"/>
    <w:rsid w:val="1E7203BC"/>
    <w:rsid w:val="20494657"/>
    <w:rsid w:val="20A95400"/>
    <w:rsid w:val="211F1DC7"/>
    <w:rsid w:val="21E9278E"/>
    <w:rsid w:val="235D02F2"/>
    <w:rsid w:val="23794D61"/>
    <w:rsid w:val="24D72ED2"/>
    <w:rsid w:val="26284BE7"/>
    <w:rsid w:val="26AB75C6"/>
    <w:rsid w:val="27BA37B3"/>
    <w:rsid w:val="289E6C31"/>
    <w:rsid w:val="2972138A"/>
    <w:rsid w:val="2B7A17CF"/>
    <w:rsid w:val="2CEE4D5D"/>
    <w:rsid w:val="2D4330FC"/>
    <w:rsid w:val="30745700"/>
    <w:rsid w:val="308F0E4B"/>
    <w:rsid w:val="30E91417"/>
    <w:rsid w:val="31A14F3A"/>
    <w:rsid w:val="32F920ED"/>
    <w:rsid w:val="33952D5B"/>
    <w:rsid w:val="34244D4C"/>
    <w:rsid w:val="363E0899"/>
    <w:rsid w:val="392B2DE4"/>
    <w:rsid w:val="3A3B09BA"/>
    <w:rsid w:val="3C321B58"/>
    <w:rsid w:val="3CAC1ED2"/>
    <w:rsid w:val="3FA27361"/>
    <w:rsid w:val="40CE3036"/>
    <w:rsid w:val="418D7A30"/>
    <w:rsid w:val="41EC12DE"/>
    <w:rsid w:val="422766A5"/>
    <w:rsid w:val="45563EA4"/>
    <w:rsid w:val="467643F9"/>
    <w:rsid w:val="46A33A66"/>
    <w:rsid w:val="4922348E"/>
    <w:rsid w:val="498A6404"/>
    <w:rsid w:val="49EF2AC9"/>
    <w:rsid w:val="4A24092A"/>
    <w:rsid w:val="4B0C5FD6"/>
    <w:rsid w:val="4D8F5457"/>
    <w:rsid w:val="4E44391D"/>
    <w:rsid w:val="4E8A2CB4"/>
    <w:rsid w:val="4F1464F5"/>
    <w:rsid w:val="4F860392"/>
    <w:rsid w:val="50EB69FD"/>
    <w:rsid w:val="51634F55"/>
    <w:rsid w:val="59C47CFC"/>
    <w:rsid w:val="5B2324E1"/>
    <w:rsid w:val="5BB00880"/>
    <w:rsid w:val="5DA46BF2"/>
    <w:rsid w:val="60456C19"/>
    <w:rsid w:val="60C96B2F"/>
    <w:rsid w:val="61314A5B"/>
    <w:rsid w:val="61B778DB"/>
    <w:rsid w:val="620B1177"/>
    <w:rsid w:val="63F773CC"/>
    <w:rsid w:val="644F2807"/>
    <w:rsid w:val="64921159"/>
    <w:rsid w:val="68C84358"/>
    <w:rsid w:val="68D91956"/>
    <w:rsid w:val="69955251"/>
    <w:rsid w:val="69CE49BC"/>
    <w:rsid w:val="6A19600C"/>
    <w:rsid w:val="6A99453E"/>
    <w:rsid w:val="6B3E6887"/>
    <w:rsid w:val="6B4F12DA"/>
    <w:rsid w:val="6C3A4966"/>
    <w:rsid w:val="6D2D6CED"/>
    <w:rsid w:val="6DD31D3F"/>
    <w:rsid w:val="6F147E2A"/>
    <w:rsid w:val="6F222915"/>
    <w:rsid w:val="6F4E13D9"/>
    <w:rsid w:val="718451BA"/>
    <w:rsid w:val="7187510E"/>
    <w:rsid w:val="72013033"/>
    <w:rsid w:val="73480FC6"/>
    <w:rsid w:val="73E55492"/>
    <w:rsid w:val="76C07AF1"/>
    <w:rsid w:val="7A366002"/>
    <w:rsid w:val="7B7950C9"/>
    <w:rsid w:val="7B827C15"/>
    <w:rsid w:val="7B875F35"/>
    <w:rsid w:val="7BDA567F"/>
    <w:rsid w:val="7C370DFC"/>
    <w:rsid w:val="7FB9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34"/>
        <o:r id="V:Rule5" type="connector" idref="#_x0000_s1035"/>
        <o:r id="V:Rule6" type="connector" idref="#_x0000_s1037"/>
        <o:r id="V:Rule7" type="connector" idref="#_x0000_s103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10"/>
      <w:ind w:left="143"/>
    </w:pPr>
    <w:rPr>
      <w:rFonts w:ascii="宋体" w:hAnsi="宋体" w:eastAsia="宋体" w:cstheme="minorBidi"/>
      <w:sz w:val="24"/>
      <w:szCs w:val="24"/>
    </w:rPr>
  </w:style>
  <w:style w:type="paragraph" w:styleId="3">
    <w:name w:val="Body Text Indent"/>
    <w:basedOn w:val="1"/>
    <w:uiPriority w:val="0"/>
    <w:pPr>
      <w:widowControl/>
      <w:adjustRightInd w:val="0"/>
      <w:snapToGrid w:val="0"/>
      <w:spacing w:after="200" w:line="540" w:lineRule="exact"/>
      <w:ind w:firstLine="560" w:firstLineChars="200"/>
      <w:jc w:val="left"/>
    </w:pPr>
    <w:rPr>
      <w:rFonts w:ascii="宋体" w:hAnsi="宋体" w:eastAsia="微软雅黑" w:cstheme="minorBidi"/>
      <w:color w:val="FF0000"/>
      <w:kern w:val="2"/>
      <w:sz w:val="28"/>
      <w:szCs w:val="28"/>
    </w:rPr>
  </w:style>
  <w:style w:type="paragraph" w:styleId="4">
    <w:name w:val="Balloon Text"/>
    <w:basedOn w:val="1"/>
    <w:link w:val="14"/>
    <w:uiPriority w:val="0"/>
    <w:pPr>
      <w:widowControl/>
      <w:adjustRightInd w:val="0"/>
      <w:snapToGrid w:val="0"/>
      <w:spacing w:after="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3"/>
    <w:next w:val="1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rFonts w:ascii="Times New Roman" w:hAnsi="Times New Roman" w:eastAsia="宋体" w:cs="Times New Roman"/>
      <w:color w:val="333333"/>
      <w:u w:val="none"/>
    </w:rPr>
  </w:style>
  <w:style w:type="character" w:customStyle="1" w:styleId="14">
    <w:name w:val="批注框文本 Char"/>
    <w:basedOn w:val="12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reader-word-layer reader-word-s1-3"/>
    <w:basedOn w:val="1"/>
    <w:qFormat/>
    <w:uiPriority w:val="0"/>
    <w:pPr>
      <w:widowControl/>
      <w:adjustRightInd w:val="0"/>
      <w:snapToGrid w:val="0"/>
      <w:spacing w:before="100" w:beforeLines="0" w:beforeAutospacing="1" w:after="100" w:afterLines="0" w:afterAutospacing="1"/>
      <w:jc w:val="left"/>
    </w:pPr>
    <w:rPr>
      <w:rFonts w:ascii="宋体" w:hAnsi="宋体" w:eastAsia="微软雅黑" w:cs="宋体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9.emf"/><Relationship Id="rId16" Type="http://schemas.openxmlformats.org/officeDocument/2006/relationships/oleObject" Target="embeddings/oleObject5.bin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348</Characters>
  <Lines>2</Lines>
  <Paragraphs>1</Paragraphs>
  <TotalTime>2</TotalTime>
  <ScaleCrop>false</ScaleCrop>
  <LinksUpToDate>false</LinksUpToDate>
  <CharactersWithSpaces>407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2020-10-25T04:51:00Z</dcterms:created>
  <dc:creator>User</dc:creator>
  <cp:lastModifiedBy>WPS_1509025691</cp:lastModifiedBy>
  <dcterms:modified xsi:type="dcterms:W3CDTF">2021-12-02T00:53:51Z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B227898712504BF28AEDC0BD253FA35E</vt:lpwstr>
  </property>
</Properties>
</file>